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10D6E">
      <w:pPr>
        <w:keepNext w:val="0"/>
        <w:keepLines w:val="0"/>
        <w:pageBreakBefore w:val="0"/>
        <w:widowControl w:val="0"/>
        <w:kinsoku/>
        <w:wordWrap/>
        <w:overflowPunct/>
        <w:topLinePunct w:val="0"/>
        <w:autoSpaceDE/>
        <w:autoSpaceDN/>
        <w:bidi w:val="0"/>
        <w:adjustRightInd/>
        <w:snapToGrid/>
        <w:ind w:firstLine="2711" w:firstLineChars="900"/>
        <w:jc w:val="both"/>
        <w:textAlignment w:val="auto"/>
        <w:rPr>
          <w:rFonts w:hint="eastAsia" w:ascii="黑体" w:hAnsi="黑体" w:eastAsia="黑体" w:cs="黑体"/>
          <w:b/>
          <w:bCs/>
          <w:sz w:val="30"/>
          <w:szCs w:val="30"/>
          <w:lang w:val="en-US" w:eastAsia="zh-CN"/>
        </w:rPr>
      </w:pPr>
      <w:r>
        <w:rPr>
          <w:rFonts w:hint="eastAsia"/>
          <w:b/>
          <w:bCs/>
          <w:sz w:val="30"/>
          <w:szCs w:val="30"/>
          <w:lang w:val="en-US" w:eastAsia="zh-CN"/>
        </w:rPr>
        <w:t>【基地项目撤销立项通知】</w:t>
      </w:r>
    </w:p>
    <w:p w14:paraId="71887478">
      <w:pPr>
        <w:keepNext w:val="0"/>
        <w:keepLines w:val="0"/>
        <w:pageBreakBefore w:val="0"/>
        <w:widowControl w:val="0"/>
        <w:kinsoku/>
        <w:wordWrap/>
        <w:overflowPunct/>
        <w:topLinePunct w:val="0"/>
        <w:autoSpaceDE/>
        <w:autoSpaceDN/>
        <w:bidi w:val="0"/>
        <w:adjustRightInd/>
        <w:snapToGrid/>
        <w:ind w:firstLine="2108" w:firstLineChars="700"/>
        <w:jc w:val="both"/>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德阳市哲学社会科学重点研究基地</w:t>
      </w:r>
    </w:p>
    <w:p w14:paraId="3C23BEAC">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 xml:space="preserve"> 红色歌谣研究中心撤销立项通知</w:t>
      </w:r>
    </w:p>
    <w:p w14:paraId="5B0A2C81">
      <w:pPr>
        <w:keepNext w:val="0"/>
        <w:keepLines w:val="0"/>
        <w:pageBreakBefore w:val="0"/>
        <w:widowControl w:val="0"/>
        <w:kinsoku/>
        <w:wordWrap/>
        <w:overflowPunct/>
        <w:topLinePunct w:val="0"/>
        <w:autoSpaceDE/>
        <w:autoSpaceDN/>
        <w:bidi w:val="0"/>
        <w:adjustRightInd/>
        <w:snapToGrid/>
        <w:jc w:val="both"/>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各相关单位：</w:t>
      </w:r>
    </w:p>
    <w:p w14:paraId="744238FF">
      <w:pPr>
        <w:keepNext w:val="0"/>
        <w:keepLines w:val="0"/>
        <w:pageBreakBefore w:val="0"/>
        <w:widowControl w:val="0"/>
        <w:kinsoku/>
        <w:wordWrap/>
        <w:overflowPunct/>
        <w:topLinePunct w:val="0"/>
        <w:autoSpaceDE/>
        <w:autoSpaceDN/>
        <w:bidi w:val="0"/>
        <w:adjustRightInd/>
        <w:snapToGrid/>
        <w:spacing w:before="313" w:beforeLines="100"/>
        <w:ind w:firstLine="600" w:firstLineChars="200"/>
        <w:jc w:val="both"/>
        <w:textAlignment w:val="auto"/>
        <w:rPr>
          <w:rFonts w:hint="default" w:ascii="楷体" w:hAnsi="楷体" w:eastAsia="楷体" w:cs="楷体"/>
          <w:sz w:val="30"/>
          <w:szCs w:val="30"/>
          <w:lang w:val="en-US" w:eastAsia="zh-CN"/>
        </w:rPr>
      </w:pPr>
      <w:r>
        <w:rPr>
          <w:rFonts w:hint="eastAsia" w:ascii="楷体" w:hAnsi="楷体" w:eastAsia="楷体" w:cs="楷体"/>
          <w:sz w:val="30"/>
          <w:szCs w:val="30"/>
          <w:lang w:val="en-US" w:eastAsia="zh-CN"/>
        </w:rPr>
        <w:t>根据《德阳市哲学社会科学规划项目管理办法》（德社科〔2020〕7号）和《红色歌谣研究中心项目管理办法》，现对2023-2024年未结项的17个立项项目进行撤销，按规定项目负责人两年内不得申请红色歌谣研究中心项目并进行通报，请相关单位加强对于项目的管理工作。</w:t>
      </w:r>
    </w:p>
    <w:p w14:paraId="742FB9D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0"/>
          <w:szCs w:val="30"/>
          <w:lang w:val="en-US" w:eastAsia="zh-CN"/>
        </w:rPr>
        <w:t>附件：红色歌谣研究中心撤销立项名单</w:t>
      </w:r>
    </w:p>
    <w:p w14:paraId="55B2D3D0">
      <w:pPr>
        <w:keepNext w:val="0"/>
        <w:keepLines w:val="0"/>
        <w:pageBreakBefore w:val="0"/>
        <w:widowControl w:val="0"/>
        <w:kinsoku/>
        <w:wordWrap/>
        <w:overflowPunct/>
        <w:topLinePunct w:val="0"/>
        <w:autoSpaceDE/>
        <w:autoSpaceDN/>
        <w:bidi w:val="0"/>
        <w:adjustRightInd/>
        <w:snapToGrid/>
        <w:spacing w:line="360" w:lineRule="auto"/>
        <w:ind w:left="6078" w:leftChars="304" w:hanging="5440" w:hangingChars="1700"/>
        <w:jc w:val="both"/>
        <w:textAlignment w:val="auto"/>
        <w:rPr>
          <w:rFonts w:hint="eastAsia" w:ascii="楷体" w:hAnsi="楷体" w:eastAsia="楷体" w:cs="楷体"/>
          <w:b/>
          <w:bCs/>
          <w:sz w:val="32"/>
          <w:szCs w:val="32"/>
          <w:lang w:val="en-US" w:eastAsia="zh-CN"/>
        </w:rPr>
      </w:pPr>
      <w:r>
        <w:rPr>
          <w:rFonts w:hint="eastAsia" w:ascii="楷体" w:hAnsi="楷体" w:eastAsia="楷体" w:cs="楷体"/>
          <w:sz w:val="32"/>
          <w:szCs w:val="32"/>
          <w:lang w:val="en-US" w:eastAsia="zh-CN"/>
        </w:rPr>
        <w:t xml:space="preserve">                              </w:t>
      </w:r>
      <w:r>
        <w:rPr>
          <w:rFonts w:hint="eastAsia" w:ascii="楷体" w:hAnsi="楷体" w:eastAsia="楷体" w:cs="楷体"/>
          <w:b/>
          <w:bCs/>
          <w:sz w:val="32"/>
          <w:szCs w:val="32"/>
          <w:lang w:val="en-US" w:eastAsia="zh-CN"/>
        </w:rPr>
        <w:t>红色歌谣研究中心</w:t>
      </w:r>
    </w:p>
    <w:p w14:paraId="40DC048F">
      <w:pPr>
        <w:keepNext w:val="0"/>
        <w:keepLines w:val="0"/>
        <w:pageBreakBefore w:val="0"/>
        <w:widowControl w:val="0"/>
        <w:kinsoku/>
        <w:wordWrap/>
        <w:overflowPunct/>
        <w:topLinePunct w:val="0"/>
        <w:autoSpaceDE/>
        <w:autoSpaceDN/>
        <w:bidi w:val="0"/>
        <w:adjustRightInd/>
        <w:snapToGrid/>
        <w:spacing w:line="360" w:lineRule="auto"/>
        <w:ind w:left="6069" w:leftChars="2584" w:hanging="643" w:hangingChars="200"/>
        <w:jc w:val="both"/>
        <w:textAlignment w:val="auto"/>
        <w:rPr>
          <w:rFonts w:hint="eastAsia" w:ascii="楷体" w:hAnsi="楷体" w:eastAsia="楷体" w:cs="楷体"/>
          <w:sz w:val="32"/>
          <w:szCs w:val="32"/>
          <w:lang w:val="en-US" w:eastAsia="zh-CN"/>
        </w:rPr>
      </w:pPr>
      <w:r>
        <w:rPr>
          <w:rFonts w:hint="eastAsia" w:ascii="楷体" w:hAnsi="楷体" w:eastAsia="楷体" w:cs="楷体"/>
          <w:b/>
          <w:bCs/>
          <w:sz w:val="32"/>
          <w:szCs w:val="32"/>
          <w:lang w:val="en-US" w:eastAsia="zh-CN"/>
        </w:rPr>
        <w:t>2025年3月31日</w:t>
      </w:r>
    </w:p>
    <w:p w14:paraId="69572ABF">
      <w:pPr>
        <w:keepNext w:val="0"/>
        <w:keepLines w:val="0"/>
        <w:pageBreakBefore w:val="0"/>
        <w:widowControl w:val="0"/>
        <w:kinsoku/>
        <w:wordWrap/>
        <w:overflowPunct/>
        <w:topLinePunct w:val="0"/>
        <w:autoSpaceDE/>
        <w:autoSpaceDN/>
        <w:bidi w:val="0"/>
        <w:adjustRightInd/>
        <w:snapToGrid/>
        <w:jc w:val="both"/>
        <w:textAlignment w:val="auto"/>
        <w:rPr>
          <w:rFonts w:hint="default" w:ascii="楷体" w:hAnsi="楷体" w:eastAsia="楷体" w:cs="楷体"/>
          <w:sz w:val="30"/>
          <w:szCs w:val="30"/>
          <w:lang w:val="en-US" w:eastAsia="zh-CN"/>
        </w:rPr>
      </w:pPr>
    </w:p>
    <w:p w14:paraId="06DAC15D">
      <w:pPr>
        <w:keepNext w:val="0"/>
        <w:keepLines w:val="0"/>
        <w:pageBreakBefore w:val="0"/>
        <w:widowControl w:val="0"/>
        <w:kinsoku/>
        <w:wordWrap/>
        <w:overflowPunct/>
        <w:topLinePunct w:val="0"/>
        <w:autoSpaceDE/>
        <w:autoSpaceDN/>
        <w:bidi w:val="0"/>
        <w:adjustRightInd/>
        <w:snapToGrid/>
        <w:jc w:val="both"/>
        <w:textAlignment w:val="auto"/>
        <w:rPr>
          <w:rFonts w:hint="default" w:ascii="楷体" w:hAnsi="楷体" w:eastAsia="楷体" w:cs="楷体"/>
          <w:sz w:val="30"/>
          <w:szCs w:val="30"/>
          <w:lang w:val="en-US" w:eastAsia="zh-CN"/>
        </w:rPr>
      </w:pPr>
    </w:p>
    <w:p w14:paraId="10CF5C77">
      <w:pPr>
        <w:keepNext w:val="0"/>
        <w:keepLines w:val="0"/>
        <w:pageBreakBefore w:val="0"/>
        <w:widowControl w:val="0"/>
        <w:kinsoku/>
        <w:wordWrap/>
        <w:overflowPunct/>
        <w:topLinePunct w:val="0"/>
        <w:autoSpaceDE/>
        <w:autoSpaceDN/>
        <w:bidi w:val="0"/>
        <w:adjustRightInd/>
        <w:snapToGrid/>
        <w:jc w:val="both"/>
        <w:textAlignment w:val="auto"/>
        <w:rPr>
          <w:rFonts w:hint="default" w:ascii="楷体" w:hAnsi="楷体" w:eastAsia="楷体" w:cs="楷体"/>
          <w:sz w:val="30"/>
          <w:szCs w:val="30"/>
          <w:lang w:val="en-US" w:eastAsia="zh-CN"/>
        </w:rPr>
      </w:pPr>
    </w:p>
    <w:p w14:paraId="113F7975">
      <w:pPr>
        <w:keepNext w:val="0"/>
        <w:keepLines w:val="0"/>
        <w:pageBreakBefore w:val="0"/>
        <w:widowControl w:val="0"/>
        <w:kinsoku/>
        <w:wordWrap/>
        <w:overflowPunct/>
        <w:topLinePunct w:val="0"/>
        <w:autoSpaceDE/>
        <w:autoSpaceDN/>
        <w:bidi w:val="0"/>
        <w:adjustRightInd/>
        <w:snapToGrid/>
        <w:jc w:val="both"/>
        <w:textAlignment w:val="auto"/>
        <w:rPr>
          <w:rFonts w:hint="default" w:ascii="楷体" w:hAnsi="楷体" w:eastAsia="楷体" w:cs="楷体"/>
          <w:sz w:val="30"/>
          <w:szCs w:val="30"/>
          <w:lang w:val="en-US" w:eastAsia="zh-CN"/>
        </w:rPr>
      </w:pPr>
    </w:p>
    <w:p w14:paraId="4E2F19D0">
      <w:pPr>
        <w:keepNext w:val="0"/>
        <w:keepLines w:val="0"/>
        <w:pageBreakBefore w:val="0"/>
        <w:widowControl w:val="0"/>
        <w:kinsoku/>
        <w:wordWrap/>
        <w:overflowPunct/>
        <w:topLinePunct w:val="0"/>
        <w:autoSpaceDE/>
        <w:autoSpaceDN/>
        <w:bidi w:val="0"/>
        <w:adjustRightInd/>
        <w:snapToGrid/>
        <w:jc w:val="both"/>
        <w:textAlignment w:val="auto"/>
        <w:rPr>
          <w:rFonts w:hint="default" w:ascii="楷体" w:hAnsi="楷体" w:eastAsia="楷体" w:cs="楷体"/>
          <w:sz w:val="30"/>
          <w:szCs w:val="30"/>
          <w:lang w:val="en-US" w:eastAsia="zh-CN"/>
        </w:rPr>
      </w:pPr>
    </w:p>
    <w:p w14:paraId="6BDFB204">
      <w:pPr>
        <w:keepNext w:val="0"/>
        <w:keepLines w:val="0"/>
        <w:pageBreakBefore w:val="0"/>
        <w:widowControl w:val="0"/>
        <w:kinsoku/>
        <w:wordWrap/>
        <w:overflowPunct/>
        <w:topLinePunct w:val="0"/>
        <w:autoSpaceDE/>
        <w:autoSpaceDN/>
        <w:bidi w:val="0"/>
        <w:adjustRightInd/>
        <w:snapToGrid/>
        <w:jc w:val="both"/>
        <w:textAlignment w:val="auto"/>
        <w:rPr>
          <w:rFonts w:hint="default" w:ascii="楷体" w:hAnsi="楷体" w:eastAsia="楷体" w:cs="楷体"/>
          <w:sz w:val="30"/>
          <w:szCs w:val="30"/>
          <w:lang w:val="en-US" w:eastAsia="zh-CN"/>
        </w:rPr>
      </w:pPr>
    </w:p>
    <w:p w14:paraId="45FF5EAB">
      <w:pPr>
        <w:keepNext w:val="0"/>
        <w:keepLines w:val="0"/>
        <w:pageBreakBefore w:val="0"/>
        <w:widowControl w:val="0"/>
        <w:kinsoku/>
        <w:wordWrap/>
        <w:overflowPunct/>
        <w:topLinePunct w:val="0"/>
        <w:autoSpaceDE/>
        <w:autoSpaceDN/>
        <w:bidi w:val="0"/>
        <w:adjustRightInd/>
        <w:snapToGrid/>
        <w:jc w:val="both"/>
        <w:textAlignment w:val="auto"/>
        <w:rPr>
          <w:rFonts w:hint="default" w:ascii="楷体" w:hAnsi="楷体" w:eastAsia="楷体" w:cs="楷体"/>
          <w:sz w:val="30"/>
          <w:szCs w:val="30"/>
          <w:lang w:val="en-US" w:eastAsia="zh-CN"/>
        </w:rPr>
      </w:pPr>
    </w:p>
    <w:p w14:paraId="62D91AD5">
      <w:pPr>
        <w:keepNext w:val="0"/>
        <w:keepLines w:val="0"/>
        <w:pageBreakBefore w:val="0"/>
        <w:widowControl w:val="0"/>
        <w:kinsoku/>
        <w:wordWrap/>
        <w:overflowPunct/>
        <w:topLinePunct w:val="0"/>
        <w:autoSpaceDE/>
        <w:autoSpaceDN/>
        <w:bidi w:val="0"/>
        <w:adjustRightInd/>
        <w:snapToGrid/>
        <w:jc w:val="both"/>
        <w:textAlignment w:val="auto"/>
        <w:rPr>
          <w:rFonts w:hint="default" w:ascii="楷体" w:hAnsi="楷体" w:eastAsia="楷体" w:cs="楷体"/>
          <w:sz w:val="30"/>
          <w:szCs w:val="30"/>
          <w:lang w:val="en-US" w:eastAsia="zh-CN"/>
        </w:rPr>
      </w:pPr>
    </w:p>
    <w:p w14:paraId="171155DF">
      <w:pPr>
        <w:keepNext w:val="0"/>
        <w:keepLines w:val="0"/>
        <w:pageBreakBefore w:val="0"/>
        <w:widowControl w:val="0"/>
        <w:kinsoku/>
        <w:wordWrap/>
        <w:overflowPunct/>
        <w:topLinePunct w:val="0"/>
        <w:autoSpaceDE/>
        <w:autoSpaceDN/>
        <w:bidi w:val="0"/>
        <w:adjustRightInd/>
        <w:snapToGrid/>
        <w:jc w:val="both"/>
        <w:textAlignment w:val="auto"/>
        <w:rPr>
          <w:rFonts w:hint="default" w:ascii="楷体" w:hAnsi="楷体" w:eastAsia="楷体" w:cs="楷体"/>
          <w:sz w:val="30"/>
          <w:szCs w:val="30"/>
          <w:lang w:val="en-US" w:eastAsia="zh-CN"/>
        </w:rPr>
      </w:pPr>
    </w:p>
    <w:p w14:paraId="6FE9AC53">
      <w:pPr>
        <w:keepNext w:val="0"/>
        <w:keepLines w:val="0"/>
        <w:pageBreakBefore w:val="0"/>
        <w:widowControl w:val="0"/>
        <w:kinsoku/>
        <w:wordWrap/>
        <w:overflowPunct/>
        <w:topLinePunct w:val="0"/>
        <w:autoSpaceDE/>
        <w:autoSpaceDN/>
        <w:bidi w:val="0"/>
        <w:adjustRightInd/>
        <w:snapToGrid/>
        <w:jc w:val="both"/>
        <w:textAlignment w:val="auto"/>
        <w:rPr>
          <w:rFonts w:hint="default" w:ascii="楷体" w:hAnsi="楷体" w:eastAsia="楷体" w:cs="楷体"/>
          <w:sz w:val="30"/>
          <w:szCs w:val="30"/>
          <w:lang w:val="en-US" w:eastAsia="zh-CN"/>
        </w:rPr>
      </w:pPr>
    </w:p>
    <w:p w14:paraId="0D15A70F">
      <w:pPr>
        <w:keepNext w:val="0"/>
        <w:keepLines w:val="0"/>
        <w:pageBreakBefore w:val="0"/>
        <w:widowControl w:val="0"/>
        <w:kinsoku/>
        <w:wordWrap/>
        <w:overflowPunct/>
        <w:topLinePunct w:val="0"/>
        <w:autoSpaceDE/>
        <w:autoSpaceDN/>
        <w:bidi w:val="0"/>
        <w:adjustRightInd/>
        <w:snapToGrid/>
        <w:jc w:val="both"/>
        <w:textAlignment w:val="auto"/>
        <w:rPr>
          <w:rFonts w:hint="default" w:ascii="楷体" w:hAnsi="楷体" w:eastAsia="楷体" w:cs="楷体"/>
          <w:sz w:val="30"/>
          <w:szCs w:val="30"/>
          <w:lang w:val="en-US" w:eastAsia="zh-CN"/>
        </w:rPr>
      </w:pPr>
    </w:p>
    <w:tbl>
      <w:tblPr>
        <w:tblStyle w:val="4"/>
        <w:tblW w:w="81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18"/>
        <w:gridCol w:w="1907"/>
        <w:gridCol w:w="1020"/>
        <w:gridCol w:w="1320"/>
        <w:gridCol w:w="1336"/>
        <w:gridCol w:w="1542"/>
      </w:tblGrid>
      <w:tr w14:paraId="78652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14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5B072F">
            <w:pPr>
              <w:keepNext w:val="0"/>
              <w:keepLines w:val="0"/>
              <w:pageBreakBefore w:val="0"/>
              <w:widowControl/>
              <w:suppressLineNumbers w:val="0"/>
              <w:kinsoku/>
              <w:wordWrap/>
              <w:overflowPunct/>
              <w:topLinePunct w:val="0"/>
              <w:autoSpaceDE/>
              <w:autoSpaceDN/>
              <w:bidi w:val="0"/>
              <w:adjustRightInd/>
              <w:snapToGrid/>
              <w:spacing w:line="360" w:lineRule="auto"/>
              <w:ind w:firstLine="2108" w:firstLineChars="700"/>
              <w:jc w:val="both"/>
              <w:textAlignment w:val="center"/>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红色歌谣研究中心撤销立项名单</w:t>
            </w:r>
          </w:p>
        </w:tc>
      </w:tr>
      <w:tr w14:paraId="2C6F8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E78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编号</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C7B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项目名称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6BC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负责人</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E7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单位</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02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立项类型</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03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b/>
                <w:bCs/>
                <w:i w:val="0"/>
                <w:iCs w:val="0"/>
                <w:color w:val="000000"/>
                <w:kern w:val="0"/>
                <w:sz w:val="24"/>
                <w:szCs w:val="24"/>
                <w:u w:val="none"/>
                <w:lang w:val="en-US" w:eastAsia="zh-CN" w:bidi="ar"/>
              </w:rPr>
            </w:pPr>
            <w:r>
              <w:rPr>
                <w:rFonts w:hint="eastAsia" w:ascii="楷体" w:hAnsi="楷体" w:eastAsia="楷体" w:cs="楷体"/>
                <w:b/>
                <w:bCs/>
                <w:i w:val="0"/>
                <w:iCs w:val="0"/>
                <w:color w:val="000000"/>
                <w:kern w:val="0"/>
                <w:sz w:val="24"/>
                <w:szCs w:val="24"/>
                <w:u w:val="none"/>
                <w:lang w:val="en-US" w:eastAsia="zh-CN" w:bidi="ar"/>
              </w:rPr>
              <w:t>立项年份</w:t>
            </w:r>
          </w:p>
        </w:tc>
      </w:tr>
      <w:tr w14:paraId="6ED63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F9F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HSGY2023ZD01</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9B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红色歌谣融入“大思政课”的价值意蕴与实践路径研究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8B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肖珍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13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西南大学</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E4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重点项目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E2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2023年</w:t>
            </w:r>
          </w:p>
        </w:tc>
      </w:tr>
      <w:tr w14:paraId="06A70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CF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HSGY2023YB01</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B6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延安时期红色歌谣融入军队思想政治教育的路径探析</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38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张灵敏</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621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西华师范大学</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C85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CB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2023年</w:t>
            </w:r>
          </w:p>
        </w:tc>
      </w:tr>
      <w:tr w14:paraId="42B6D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7E9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HSGY2023YB02</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8E4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红色歌谣赋能高职院校党史学习教育研究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DF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杨莉</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31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内江卫生与健康职业学院</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7B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828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2023年</w:t>
            </w:r>
          </w:p>
        </w:tc>
      </w:tr>
      <w:tr w14:paraId="55E66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BA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HSGY2023YB03</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DB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湘鄂赣苏区红色歌谣的整理与时代价值研究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ED1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万涛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00D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宜春学院</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66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7D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2023年</w:t>
            </w:r>
          </w:p>
        </w:tc>
      </w:tr>
      <w:tr w14:paraId="3B0F0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1F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HSGY2023YB05</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526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川东红色旅游视域下红色歌谣开发应用研究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79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李婷</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E7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西华师范大学</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C0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A42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2023年</w:t>
            </w:r>
          </w:p>
        </w:tc>
      </w:tr>
      <w:tr w14:paraId="6EF01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AF3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HSGY2023YB06</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2E03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红色歌谣融入高职院校党史教育的路径研究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53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黄琪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EF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四川职业技术学院</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C9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620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2023年</w:t>
            </w:r>
          </w:p>
        </w:tc>
      </w:tr>
      <w:tr w14:paraId="6D18E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64D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HSGY2023ZC01</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57E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红色资源赋能“大思政课”的实践路径研究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78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李东航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ED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陕西师范大学</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91D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培育项目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1CC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2023年</w:t>
            </w:r>
          </w:p>
        </w:tc>
      </w:tr>
      <w:tr w14:paraId="2B0E1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232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HSGY2023ZC11</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FC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 xml:space="preserve"> 川陕苏区红色歌谣融入高校思想政治理论课创新研究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BE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尤思锦</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396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成都文理学院</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CD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培育项目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3E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2023年</w:t>
            </w:r>
          </w:p>
        </w:tc>
      </w:tr>
      <w:tr w14:paraId="08F77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01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HSGY2023ZC13</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CC3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红色歌谣融入高校思想政治教育提升大学生文化自信研究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92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王潇涵</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5F2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西华师范大学</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65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培育项目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448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2023年</w:t>
            </w:r>
          </w:p>
        </w:tc>
      </w:tr>
      <w:tr w14:paraId="79F40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172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HSGY2023ZC14</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5E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川陕苏区红色歌谣与马克思主义大众化文化传播研究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E2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陈迎春</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44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西华师范大学</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F3C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培育项目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A5A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2023年</w:t>
            </w:r>
          </w:p>
        </w:tc>
      </w:tr>
      <w:tr w14:paraId="51B4F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F70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HSGY2023ZC17</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D6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红色文化资源教育功能的实证研究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21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张凌云</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DC3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四川工业科技学院</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EDF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培育项目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BB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2023年</w:t>
            </w:r>
          </w:p>
        </w:tc>
      </w:tr>
      <w:tr w14:paraId="3F867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0A6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HSGY2023ZC21</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AC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红色歌谣融入高校思政课教学的路径研究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3B0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陈云芳</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F0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四川工业科技学院</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8F7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培育项目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89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2023年</w:t>
            </w:r>
          </w:p>
        </w:tc>
      </w:tr>
      <w:tr w14:paraId="4AF94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802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2"/>
                <w:sz w:val="24"/>
                <w:szCs w:val="24"/>
                <w:u w:val="none"/>
                <w:lang w:val="en-US" w:eastAsia="zh-CN" w:bidi="ar-SA"/>
              </w:rPr>
            </w:pPr>
            <w:r>
              <w:rPr>
                <w:rFonts w:hint="eastAsia" w:ascii="楷体" w:hAnsi="楷体" w:eastAsia="楷体" w:cs="楷体"/>
                <w:i w:val="0"/>
                <w:iCs w:val="0"/>
                <w:color w:val="000000"/>
                <w:kern w:val="0"/>
                <w:sz w:val="24"/>
                <w:szCs w:val="24"/>
                <w:u w:val="none"/>
                <w:lang w:val="en-US" w:eastAsia="zh-CN" w:bidi="ar"/>
              </w:rPr>
              <w:t>HSGY2024ZC05</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74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2"/>
                <w:sz w:val="24"/>
                <w:szCs w:val="24"/>
                <w:u w:val="none"/>
                <w:lang w:val="en-US" w:eastAsia="zh-CN" w:bidi="ar-SA"/>
              </w:rPr>
            </w:pPr>
            <w:r>
              <w:rPr>
                <w:rFonts w:hint="eastAsia" w:ascii="楷体" w:hAnsi="楷体" w:eastAsia="楷体" w:cs="楷体"/>
                <w:i w:val="0"/>
                <w:iCs w:val="0"/>
                <w:color w:val="000000"/>
                <w:kern w:val="0"/>
                <w:sz w:val="24"/>
                <w:szCs w:val="24"/>
                <w:u w:val="none"/>
                <w:lang w:val="en-US" w:eastAsia="zh-CN" w:bidi="ar"/>
              </w:rPr>
              <w:t xml:space="preserve">  延安时期红色歌谣塑造党的形象研究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CEA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2"/>
                <w:sz w:val="24"/>
                <w:szCs w:val="24"/>
                <w:u w:val="none"/>
                <w:lang w:val="en-US" w:eastAsia="zh-CN" w:bidi="ar-SA"/>
              </w:rPr>
            </w:pPr>
            <w:r>
              <w:rPr>
                <w:rFonts w:hint="eastAsia" w:ascii="楷体" w:hAnsi="楷体" w:eastAsia="楷体" w:cs="楷体"/>
                <w:i w:val="0"/>
                <w:iCs w:val="0"/>
                <w:color w:val="000000"/>
                <w:kern w:val="0"/>
                <w:sz w:val="24"/>
                <w:szCs w:val="24"/>
                <w:u w:val="none"/>
                <w:lang w:val="en-US" w:eastAsia="zh-CN" w:bidi="ar"/>
              </w:rPr>
              <w:t>刘鑫</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1B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2"/>
                <w:sz w:val="24"/>
                <w:szCs w:val="24"/>
                <w:u w:val="none"/>
                <w:lang w:val="en-US" w:eastAsia="zh-CN" w:bidi="ar-SA"/>
              </w:rPr>
            </w:pPr>
            <w:r>
              <w:rPr>
                <w:rFonts w:hint="eastAsia" w:ascii="楷体" w:hAnsi="楷体" w:eastAsia="楷体" w:cs="楷体"/>
                <w:i w:val="0"/>
                <w:iCs w:val="0"/>
                <w:color w:val="000000"/>
                <w:kern w:val="0"/>
                <w:sz w:val="24"/>
                <w:szCs w:val="24"/>
                <w:u w:val="none"/>
                <w:lang w:val="en-US" w:eastAsia="zh-CN" w:bidi="ar"/>
              </w:rPr>
              <w:t>西华师范大学</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DB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2"/>
                <w:sz w:val="24"/>
                <w:szCs w:val="24"/>
                <w:u w:val="none"/>
                <w:lang w:val="en-US" w:eastAsia="zh-CN" w:bidi="ar-SA"/>
              </w:rPr>
            </w:pPr>
            <w:r>
              <w:rPr>
                <w:rFonts w:hint="eastAsia" w:ascii="楷体" w:hAnsi="楷体" w:eastAsia="楷体" w:cs="楷体"/>
                <w:i w:val="0"/>
                <w:iCs w:val="0"/>
                <w:color w:val="000000"/>
                <w:kern w:val="0"/>
                <w:sz w:val="24"/>
                <w:szCs w:val="24"/>
                <w:u w:val="none"/>
                <w:lang w:val="en-US" w:eastAsia="zh-CN" w:bidi="ar"/>
              </w:rPr>
              <w:t>培育项目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4F5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2024年</w:t>
            </w:r>
          </w:p>
        </w:tc>
      </w:tr>
      <w:tr w14:paraId="130AB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6A7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HSGY2024ZC09</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A03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红色歌谣融入大中小思政课一体化建设的保护传承路径研究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F5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谢媛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ECB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四川建筑职业技术学院</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1F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培育项目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8A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2024年</w:t>
            </w:r>
          </w:p>
        </w:tc>
      </w:tr>
      <w:tr w14:paraId="3E7D2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8"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622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HSGY2024ZC10</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542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“短视频”视域下红色歌谣价值传播的策略研究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13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秦翠</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435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西华师范大学</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A41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培育项目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FDC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2024年</w:t>
            </w:r>
          </w:p>
        </w:tc>
      </w:tr>
      <w:tr w14:paraId="1B031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BB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HSGY2024ZC16</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325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红色歌谣赋能德阳乡村振兴实现路径研究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74D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钟倩</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EE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西华师范大学</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B69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培育项目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59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2024年</w:t>
            </w:r>
          </w:p>
        </w:tc>
      </w:tr>
      <w:tr w14:paraId="76C23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F9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HSGY2024ZC18</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D94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大中小学思政课一体化建设背景下红色歌谣运用研究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A5D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苏</w:t>
            </w:r>
            <w:bookmarkStart w:id="0" w:name="_GoBack"/>
            <w:bookmarkEnd w:id="0"/>
            <w:r>
              <w:rPr>
                <w:rFonts w:hint="eastAsia" w:ascii="楷体" w:hAnsi="楷体" w:eastAsia="楷体" w:cs="楷体"/>
                <w:i w:val="0"/>
                <w:iCs w:val="0"/>
                <w:color w:val="000000"/>
                <w:kern w:val="0"/>
                <w:sz w:val="24"/>
                <w:szCs w:val="24"/>
                <w:u w:val="none"/>
                <w:lang w:val="en-US" w:eastAsia="zh-CN" w:bidi="ar"/>
              </w:rPr>
              <w:t>蓉</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76F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四川工业科技学院</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6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培育项目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B19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2024年</w:t>
            </w:r>
          </w:p>
        </w:tc>
      </w:tr>
    </w:tbl>
    <w:p w14:paraId="1F299898">
      <w:pPr>
        <w:keepNext w:val="0"/>
        <w:keepLines w:val="0"/>
        <w:pageBreakBefore w:val="0"/>
        <w:widowControl w:val="0"/>
        <w:kinsoku/>
        <w:wordWrap/>
        <w:overflowPunct/>
        <w:topLinePunct w:val="0"/>
        <w:autoSpaceDE/>
        <w:autoSpaceDN/>
        <w:bidi w:val="0"/>
        <w:adjustRightInd/>
        <w:snapToGrid/>
        <w:jc w:val="both"/>
        <w:textAlignment w:val="auto"/>
        <w:rPr>
          <w:rFonts w:hint="default" w:ascii="楷体" w:hAnsi="楷体" w:eastAsia="楷体" w:cs="楷体"/>
          <w:sz w:val="30"/>
          <w:szCs w:val="30"/>
          <w:lang w:val="en-US" w:eastAsia="zh-CN"/>
        </w:rPr>
      </w:pPr>
    </w:p>
    <w:p w14:paraId="0613C65E">
      <w:pPr>
        <w:widowControl/>
        <w:snapToGrid w:val="0"/>
        <w:spacing w:line="580" w:lineRule="exact"/>
        <w:jc w:val="left"/>
        <w:rPr>
          <w:rFonts w:ascii="仿宋_GB2312" w:hAnsi="宋体" w:eastAsia="仿宋_GB2312" w:cs="宋体"/>
          <w:bCs/>
          <w:color w:val="000000"/>
          <w:kern w:val="0"/>
          <w:sz w:val="28"/>
          <w:szCs w:val="28"/>
        </w:rPr>
      </w:pPr>
    </w:p>
    <w:p w14:paraId="49D5335F"/>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82378">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DC3C1">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229AF">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34D59">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5AC98">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19957">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795033"/>
    <w:rsid w:val="478C6C5D"/>
    <w:rsid w:val="6FE7018E"/>
    <w:rsid w:val="738B6755"/>
    <w:rsid w:val="74795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851</Words>
  <Characters>1105</Characters>
  <Lines>0</Lines>
  <Paragraphs>0</Paragraphs>
  <TotalTime>4</TotalTime>
  <ScaleCrop>false</ScaleCrop>
  <LinksUpToDate>false</LinksUpToDate>
  <CharactersWithSpaces>1139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2025-03-31T08:07:00Z</dcterms:created>
  <dc:creator>冯军成</dc:creator>
  <cp:lastModifiedBy>Lenovo</cp:lastModifiedBy>
  <dcterms:modified xsi:type="dcterms:W3CDTF">2025-04-03T08:33:07Z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2BA81E13E8264A80AF095291AD5D4CE3_13</vt:lpwstr>
  </property>
  <property fmtid="{D5CDD505-2E9C-101B-9397-08002B2CF9AE}" pid="4" name="KSOTemplateDocerSaveRecord">
    <vt:lpwstr>eyJoZGlkIjoiOTAyMDdkYTUzN2YyMDk1YzBlMzFkMmEwOTk3ZjA2NzcifQ==</vt:lpwstr>
  </property>
</Properties>
</file>