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overflowPunct w:val="0"/>
        <w:topLinePunct/>
        <w:autoSpaceDE/>
        <w:autoSpaceDN/>
        <w:spacing w:line="600" w:lineRule="exact"/>
        <w:rPr>
          <w:rFonts w:hint="eastAsia" w:eastAsia="黑体"/>
          <w:b/>
          <w:bCs/>
          <w:kern w:val="0"/>
          <w:sz w:val="32"/>
          <w:szCs w:val="32"/>
          <w:lang w:eastAsia="zh-CN"/>
        </w:rPr>
      </w:pPr>
      <w:r>
        <w:rPr>
          <w:rFonts w:eastAsia="黑体"/>
          <w:b/>
          <w:bCs/>
          <w:kern w:val="0"/>
          <w:sz w:val="32"/>
          <w:szCs w:val="32"/>
        </w:rPr>
        <w:t>附件</w:t>
      </w:r>
      <w:r>
        <w:rPr>
          <w:rFonts w:hint="eastAsia" w:eastAsia="黑体"/>
          <w:b/>
          <w:bCs/>
          <w:kern w:val="0"/>
          <w:sz w:val="32"/>
          <w:szCs w:val="32"/>
          <w:lang w:val="en-US" w:eastAsia="zh-CN"/>
        </w:rPr>
        <w:t>2</w:t>
      </w:r>
    </w:p>
    <w:p>
      <w:pPr>
        <w:wordWrap/>
        <w:overflowPunct w:val="0"/>
        <w:topLinePunct/>
        <w:autoSpaceDE/>
        <w:autoSpaceDN/>
        <w:spacing w:line="600" w:lineRule="exact"/>
        <w:rPr>
          <w:rFonts w:eastAsia="仿宋_GB2312"/>
          <w:b/>
          <w:bCs/>
          <w:kern w:val="0"/>
          <w:sz w:val="32"/>
          <w:szCs w:val="32"/>
        </w:rPr>
      </w:pPr>
    </w:p>
    <w:p>
      <w:pPr>
        <w:wordWrap/>
        <w:overflowPunct w:val="0"/>
        <w:topLinePunct/>
        <w:autoSpaceDE/>
        <w:autoSpaceDN/>
        <w:spacing w:line="600" w:lineRule="exact"/>
        <w:jc w:val="center"/>
        <w:rPr>
          <w:rFonts w:eastAsia="方正小标宋_GBK"/>
          <w:b/>
          <w:bCs/>
          <w:spacing w:val="-8"/>
          <w:kern w:val="0"/>
          <w:sz w:val="44"/>
          <w:szCs w:val="44"/>
        </w:rPr>
      </w:pPr>
      <w:bookmarkStart w:id="0" w:name="_GoBack"/>
      <w:r>
        <w:rPr>
          <w:rFonts w:eastAsia="方正小标宋_GBK"/>
          <w:b/>
          <w:bCs/>
          <w:spacing w:val="-8"/>
          <w:kern w:val="0"/>
          <w:sz w:val="44"/>
          <w:szCs w:val="44"/>
        </w:rPr>
        <w:t>四川省2022年度重大文艺扶持项目申报指南</w:t>
      </w:r>
    </w:p>
    <w:bookmarkEnd w:id="0"/>
    <w:p>
      <w:pPr>
        <w:wordWrap/>
        <w:overflowPunct w:val="0"/>
        <w:topLinePunct/>
        <w:autoSpaceDE/>
        <w:autoSpaceDN/>
        <w:spacing w:line="600" w:lineRule="exact"/>
        <w:ind w:firstLine="643" w:firstLineChars="200"/>
        <w:rPr>
          <w:rFonts w:eastAsia="仿宋_GB2312"/>
          <w:b/>
          <w:bCs/>
          <w:kern w:val="0"/>
          <w:sz w:val="32"/>
          <w:szCs w:val="32"/>
        </w:rPr>
      </w:pPr>
    </w:p>
    <w:p>
      <w:pPr>
        <w:wordWrap/>
        <w:overflowPunct w:val="0"/>
        <w:topLinePunct/>
        <w:autoSpaceDE/>
        <w:autoSpaceDN/>
        <w:spacing w:line="600" w:lineRule="exact"/>
        <w:ind w:firstLine="643" w:firstLineChars="200"/>
        <w:rPr>
          <w:rFonts w:eastAsia="黑体"/>
          <w:b/>
          <w:bCs/>
          <w:kern w:val="0"/>
          <w:sz w:val="32"/>
          <w:szCs w:val="32"/>
        </w:rPr>
      </w:pPr>
      <w:r>
        <w:rPr>
          <w:rFonts w:eastAsia="黑体"/>
          <w:b/>
          <w:bCs/>
          <w:kern w:val="0"/>
          <w:sz w:val="32"/>
          <w:szCs w:val="32"/>
        </w:rPr>
        <w:t>一、电影</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（一）扶持范围</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重点扶持剧本质量高、团队实力强、摄制水平突出、票房潜力巨大，且已在川完成备案（立项）的电影项目（含动画电影、纪录电影）。已公映的项目，不参加扶持申报。</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（二）申报主体</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凡在川登记注册、具备专业资质和电影摄制能力，从事电影创作生产的制片机构（企业）均可申报。申报单位必须是第一出品单位（联合出品项目应由所有出品方联合授权）。</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（三）申报要求</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1. 权属清晰。申报主体依法享有申报项目完整的知识产权，且不侵犯任何第三方的知识产权或其他合法权益。根据真实人物及其事迹创作的作品应提交书面授权。改编作品须附原著作改编版权使用协议书。严禁有劣迹从业人员担任主创的作品参评。</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2. 项目可行。申报项目应具有较高成熟度，原则上能自扶持之日起两年内摄制完成，具备较大获奖或票房潜力。</w:t>
      </w:r>
    </w:p>
    <w:p>
      <w:pPr>
        <w:wordWrap/>
        <w:overflowPunct w:val="0"/>
        <w:topLinePunct/>
        <w:autoSpaceDE/>
        <w:autoSpaceDN/>
        <w:spacing w:line="600" w:lineRule="exact"/>
        <w:ind w:firstLine="643" w:firstLineChars="200"/>
        <w:rPr>
          <w:rFonts w:eastAsia="楷体_GB2312"/>
          <w:b/>
          <w:bCs/>
          <w:kern w:val="0"/>
          <w:sz w:val="32"/>
          <w:szCs w:val="32"/>
        </w:rPr>
      </w:pPr>
      <w:r>
        <w:rPr>
          <w:rFonts w:eastAsia="仿宋_GB2312"/>
          <w:b/>
          <w:bCs/>
          <w:kern w:val="0"/>
          <w:sz w:val="32"/>
          <w:szCs w:val="32"/>
        </w:rPr>
        <w:t>3. 部门推荐。申报项目按照属地原则，由各市（州）电影主管部门、省直相关部门（单位）、省属国有文化企事业单位择优推荐。各市（州）电影主管部门原则上推荐项目不超过6个，省直有关部门（单位）、省属国有文化企事业单位推荐项目原则上不超过3个。项目统一报送至省电影局。</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（四）申报材料</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1. 《四川省2022年度重大文艺扶持项目申报表（电影）》（见附件，需提交Word格式版本和PDF格式的加盖公章扫描版本）。</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2. 营业执照、《电影剧本（梗概）备案回执单》。</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3. 被市（州）级及以上党委政府或相关部门列入重点项目或规划的佐证文件。</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4. 故事大纲、人物小传、完整文学剧本，编剧授权书，改编作品附原著、改编版权（授权）协议书等。</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5. 《创作生产综合报告》，包含创作题材、创作思路、创作进度、完成时限，对项目社会经济效益预测，风险评估和可行性报告，出品单位和主创人员简介。</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6. 项目创作成本资金证明材料，包含相关收支票据、验资报告、流水证明、合同协议等佐证文件。</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7. 先导片、样片或完成片数字拷贝（MP4高清格式）。</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8. 国内外发行或参展、获奖情况的文字、图片、影像等佐证材料。</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9. 信用证明，包括：上一年度财务审计报告或上一年度财务报表；信用中国网站失信被执行人查询结果截图。</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10. 其他相关材料：承诺书，包括：全国性评奖申报权归属四川省；申报单位三年内无严重违法违规行为的书面承诺；主要演员片酬占比说明；依法履行版权保护义务。</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申报材料不符合相关规定及提供材料不全的，不予受理并将通知推荐单位或申报主体。申报主体寄送的申报材料不予退还，请自行备份。</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（五）材料格式</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申报单位提交材料需统一复印、统一目录、统一装订，胶装成册，加盖公章，一式10份；其他电子版文件、视频图片资料、样片成片统一存入U盘，一式三份；影片拷贝画面、声音、字幕完整，分辨率不低于1280×720，封装格式MP4。</w:t>
      </w:r>
    </w:p>
    <w:p>
      <w:pPr>
        <w:wordWrap/>
        <w:overflowPunct w:val="0"/>
        <w:topLinePunct/>
        <w:autoSpaceDE/>
        <w:autoSpaceDN/>
        <w:spacing w:line="600" w:lineRule="exact"/>
        <w:ind w:firstLine="643" w:firstLineChars="200"/>
        <w:rPr>
          <w:rFonts w:eastAsia="黑体"/>
          <w:b/>
          <w:bCs/>
          <w:kern w:val="0"/>
          <w:sz w:val="32"/>
          <w:szCs w:val="32"/>
        </w:rPr>
      </w:pPr>
      <w:r>
        <w:rPr>
          <w:rFonts w:eastAsia="黑体"/>
          <w:b/>
          <w:bCs/>
          <w:kern w:val="0"/>
          <w:sz w:val="32"/>
          <w:szCs w:val="32"/>
        </w:rPr>
        <w:t>二、电视剧</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（一）申报范围</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剧本质量优、团队实力强、摄制能力突出、播放预期优良，具有获常设全国性文艺评奖奖项潜力，在我省立项的优秀电视剧项目。</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（二）申报主体</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凡在四川省登记注册、具备专业资质和电视剧制作能力，在四川从事电视剧创作生产的影视制作机构（企业）、播出机构均可申报。申报主体须为第一出品方（除国家级播出平台外），承担主要法律责任，且拥有该项目的出品权和评奖申报权、荣誉权。</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（三）申报要求</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1. 权属清晰。申报主体依法享有申报项目完整的知识产权，且不侵犯任何第三方的知识产权或其他合法权益。根据真实人物及其事迹创作的作品应提交书面授权。改编作品须附原著作改编版权使用协议书。严禁有劣迹从业人员担任主创的作品参评。</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2. 项目可行。申报项目应具有较高成熟度，原则上能自扶持之日起两年内摄制完成，具备较大市场需求潜力及社会影响力。</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3. 部门推荐。申报项目按照属地原则，由各市（州）广电行政部门、省直相关部门（单位）、省属国有文化企事业单位择优推荐。各市（州）广电行政部门原则上推荐项目不超过6个。省直有关部门（单位）、省属国有文化企事业单位推荐项目原则上不超过3个。项目统一报送至省广电局。</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（四）申报材料</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1. 《四川省2022年度重大文艺扶持项目申报表（电视剧）》（见附件，需提交Word格式版本和PDF格式的加盖公章扫描版本）。</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2. 《广播电视节目制作经营许可证》复印件。</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3. 尚在创作阶段的申报项目需提供（以下附件材料除剧本外统一汇编到申报书）：资金证明；故事大纲；分集梗概（每集不少于1000字）；人物小传；完整电视剧剧本；若有相关部门审核意见一并附上。编剧授权书，改编作品附原著、改编版权（授权）协议书等。</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4. 已进入摄制和宣推阶段的申报项目，除以上1—3项外还需提供：剧本论证报告；团队组建情况；播出计划和效益分析；不少于30分钟视频素材。</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5. 信用证明，包括：上一年度财务审计报告或上一年度财务报表；信用中国网站失信被执行人查询结果截图。</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6. 其他相关材料：承诺书，包括：全国性评奖申报权归属四川省；申报单位三年内无严重违法违规行为的书面承诺；主要演员片酬占比说明；依法履行版权保护义务。</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（五）材料格式</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1. 申报主体提交材料。相关附件材料（除剧本外）均需提供纸质文件和电子版文件，申报书扉页设置目录索引，统一目录、统一页码、统一装订（为便于专家盲评，剧本单独胶装，不透露申报单位信息），A4纸双面打印、于左侧胶装成册，加盖单位公章和骑缝章，一式10份；其他电子版文件、视频图片资料、报审样片统一存入U盘或硬盘，一式三份；报审样片为电子介质，须符合相关质量要求，具备完整图像、声音、字幕，分辨率不低于1280×720，且必须从高清母带采集，码率不低于2Mbps，视频帧率大于25帧/秒，音频格式AAC，音频码率不低于128Kbps，封装格式MP4。为保护版权，需在全片中完整添加“评审专用”的文字标识和时钟码（小时、分钟、秒），其中“评审专用”位于画面右上角，时钟码位于画面左上角。</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2. 推荐单位提交资料。推荐申报项目的请示（一式两份）、推荐申报项目汇总表（一式两份）、经审核的推荐项目申报材料（一式十份）。以上内容正式纸质文件（需加盖公章），电子文档请刻制光盘报送（含PDF和Word文档，按项目做好文件分类和重命名，文件夹格式为：推荐单位—项目名称—申报单位）。</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申报材料不符合相关规定及提供材料不全的，不予受理并将通知推荐单位或申报主体。申报主体寄送的申报材料不予退还，请自行备份。</w:t>
      </w:r>
    </w:p>
    <w:p>
      <w:pPr>
        <w:wordWrap/>
        <w:overflowPunct w:val="0"/>
        <w:topLinePunct/>
        <w:autoSpaceDE/>
        <w:autoSpaceDN/>
        <w:spacing w:line="600" w:lineRule="exact"/>
        <w:ind w:firstLine="643" w:firstLineChars="200"/>
        <w:rPr>
          <w:rFonts w:eastAsia="黑体"/>
          <w:b/>
          <w:bCs/>
          <w:kern w:val="0"/>
          <w:sz w:val="32"/>
          <w:szCs w:val="32"/>
        </w:rPr>
      </w:pPr>
      <w:r>
        <w:rPr>
          <w:rFonts w:eastAsia="黑体"/>
          <w:b/>
          <w:bCs/>
          <w:kern w:val="0"/>
          <w:sz w:val="32"/>
          <w:szCs w:val="32"/>
        </w:rPr>
        <w:t>三、舞台剧</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（一）申报范围</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具有获常设全国性文艺评奖奖项潜力的戏曲、话剧、儿童剧、歌剧、舞剧、音乐剧、杂技剧、曲艺剧、木偶剧、皮影戏等。已参评过全国精神文明建设“五个一工程”、中国文华大奖的剧目，不再参加申报。</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（二）申报主体</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在四川省登记，取得《营业性演出许可证》，依法独立享有民事权利、承担民事义务，能够独立承担民事责任的文化单位、机构或社会团体（不含性质为机关法人的单位），且有稳定的创作演出团队，主要演员不得外借；有申报项目知识产权；联合完成的项目由第一出品方申报，主要合作方需在项目申报表上签署同意意见并加盖公章。</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（三）申报要求</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1. 权属清晰。申报主体依法享有申报项目完整的知识产权，且不侵犯任何第三方的知识产权或其他合法权益。根据真实人物及其事迹创作的作品应提交书面授权。改编作品须附原著作改编版权使用协议书。严禁有劣迹从业人员担任主创的作品参评。</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2. 项目可行。申报项目应具有较高成熟度，2018年1月以来首演的剧目，国内演出场次不少于30场；2020年1月以来的剧目，已完成国内首演或试演2场以上。统计截止时间为申报指南发布当日。2021年度参与申报评审未列入扶持对象的，经重大修改提升后，可继续参与2022年度申报。</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3. 列入以下项目之一：国家级重大工程的项目；省委、省政府围绕重大主题和重要时间节点指定创作生产的项目；我省主题文艺精品创作生产年度项目；近两年获得国家艺术基金或四川艺术基金扶持的大型舞台艺术创作项目；省委、省政府确定的其它重大项目。</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4. 部门推荐。申报项目按照属地原则，由文化和旅游行政部门、省直相关部门（单位）、省直文艺单位、省属国有文化企事业单位择优推荐。各市（州）文化和旅游行政部门、省直有关部门（单位）、省直文艺单位、省属国有文化企事业单位推荐项目原则上不超过1个。项目统一报送至文化和旅游厅。</w:t>
      </w:r>
    </w:p>
    <w:p>
      <w:pPr>
        <w:wordWrap/>
        <w:overflowPunct w:val="0"/>
        <w:topLinePunct/>
        <w:autoSpaceDE/>
        <w:autoSpaceDN/>
        <w:spacing w:line="600" w:lineRule="exact"/>
        <w:ind w:firstLine="643" w:firstLineChars="200"/>
        <w:rPr>
          <w:rFonts w:eastAsia="楷体_GB2312"/>
          <w:b/>
          <w:bCs/>
          <w:kern w:val="0"/>
          <w:sz w:val="32"/>
          <w:szCs w:val="32"/>
        </w:rPr>
      </w:pPr>
      <w:r>
        <w:rPr>
          <w:rFonts w:eastAsia="楷体_GB2312"/>
          <w:b/>
          <w:bCs/>
          <w:kern w:val="0"/>
          <w:sz w:val="32"/>
          <w:szCs w:val="32"/>
        </w:rPr>
        <w:t>（四）申报材料</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1. 《四川省2022年度重大文艺扶持项目申报表（舞台剧）》（见附件，需提交Word格式版本和PDF格式的加盖公章扫描版本）。</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2. 申报单位资质证明，包括企业法人营业执照（事业单位法人登记证书）、信用机构代码。</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3. 剧目相关资料，包括：剧本、专家对项目的论证意见，剧目成本总投资预算（截止到2023年12月）、成本预算专家论证意见，完整的舞台演出视频光盘（字幕播出版）、主创团队简介，版权证明材料、原著与作品改编权、移植权授权协议书复印件，修改提升方案、项目绩效目标等。</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4. 信用证明，包括：上一年度财务审计报告或上一年度财务报表；信用中国网站失信被执行人查询结果截图。</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5. 其他相关资料。承诺书，包括：全国性评奖申报权归属四川省；申报单位三年内无严重违法违规行为的书面承诺；依法履行版权保护义务。如有团外聘请主创人员，须提交合作意向书或协议书复印件。涉及重大革命和历史题材、民族和宗教题材等，需另行提供市级以上文化旅游主管部门及相关部门的审核意见。</w:t>
      </w:r>
    </w:p>
    <w:p>
      <w:pPr>
        <w:wordWrap/>
        <w:overflowPunct w:val="0"/>
        <w:topLinePunct/>
        <w:autoSpaceDE/>
        <w:autoSpaceDN/>
        <w:spacing w:line="600" w:lineRule="exact"/>
        <w:ind w:firstLine="643" w:firstLineChars="200"/>
        <w:rPr>
          <w:rFonts w:eastAsia="仿宋_GB2312"/>
          <w:b/>
          <w:bCs/>
          <w:kern w:val="0"/>
          <w:sz w:val="32"/>
          <w:szCs w:val="32"/>
        </w:rPr>
      </w:pPr>
      <w:r>
        <w:rPr>
          <w:rFonts w:eastAsia="仿宋_GB2312"/>
          <w:b/>
          <w:bCs/>
          <w:kern w:val="0"/>
          <w:sz w:val="32"/>
          <w:szCs w:val="32"/>
        </w:rPr>
        <w:t>相关资料一律以扫描方式录入U盘，并以纸质方式一式三份装订成册报文化和旅游厅。申报材料不符合相关规定及提供材料不全的，不予受理并将通知推荐单位或申报主体。申报主体寄送的申报材料不予退还，请自行备份。</w:t>
      </w:r>
    </w:p>
    <w:p>
      <w:pPr>
        <w:keepNext w:val="0"/>
        <w:widowControl w:val="0"/>
        <w:wordWrap/>
        <w:overflowPunct w:val="0"/>
        <w:autoSpaceDE/>
        <w:autoSpaceDN/>
        <w:spacing w:line="660" w:lineRule="exact"/>
        <w:rPr>
          <w:rFonts w:eastAsia="黑体"/>
          <w:b/>
          <w:bCs/>
          <w:kern w:val="0"/>
          <w:sz w:val="32"/>
          <w:szCs w:val="32"/>
        </w:rPr>
      </w:pPr>
      <w:r>
        <w:rPr>
          <w:rFonts w:eastAsia="黑体"/>
          <w:b/>
          <w:bCs/>
          <w:kern w:val="0"/>
          <w:sz w:val="32"/>
          <w:szCs w:val="32"/>
        </w:rPr>
        <w:br w:type="page"/>
      </w:r>
    </w:p>
    <w:p>
      <w:pPr>
        <w:wordWrap/>
        <w:overflowPunct w:val="0"/>
        <w:autoSpaceDE/>
        <w:autoSpaceDN/>
        <w:snapToGrid w:val="0"/>
        <w:spacing w:line="660" w:lineRule="exact"/>
        <w:textAlignment w:val="baseline"/>
        <w:rPr>
          <w:rFonts w:eastAsia="仿宋_GB2312"/>
          <w:b/>
          <w:bCs/>
          <w:spacing w:val="-10"/>
          <w:kern w:val="0"/>
          <w:sz w:val="36"/>
          <w:szCs w:val="36"/>
        </w:rPr>
      </w:pPr>
    </w:p>
    <w:sectPr>
      <w:footerReference r:id="rId3" w:type="default"/>
      <w:footerReference r:id="rId4" w:type="even"/>
      <w:pgSz w:w="11907" w:h="16840"/>
      <w:pgMar w:top="1701" w:right="1701" w:bottom="1701" w:left="187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wiss"/>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sz w:val="28"/>
        <w:szCs w:val="28"/>
      </w:rPr>
    </w:pPr>
    <w:r>
      <w:rPr>
        <w:rStyle w:val="9"/>
        <w:sz w:val="28"/>
        <w:szCs w:val="28"/>
      </w:rPr>
      <w:fldChar w:fldCharType="begin"/>
    </w:r>
    <w:r>
      <w:rPr>
        <w:rStyle w:val="9"/>
        <w:sz w:val="28"/>
        <w:szCs w:val="28"/>
      </w:rPr>
      <w:instrText xml:space="preserve">Page</w:instrText>
    </w:r>
    <w:r>
      <w:rPr>
        <w:rStyle w:val="9"/>
        <w:sz w:val="28"/>
        <w:szCs w:val="28"/>
      </w:rPr>
      <w:fldChar w:fldCharType="separate"/>
    </w:r>
    <w:r>
      <w:rPr>
        <w:rStyle w:val="9"/>
        <w:sz w:val="28"/>
        <w:szCs w:val="28"/>
      </w:rPr>
      <w:t>1</w:t>
    </w:r>
    <w:r>
      <w:rPr>
        <w:rStyle w:val="9"/>
        <w:sz w:val="28"/>
        <w:szCs w:val="28"/>
      </w:rPr>
      <w:fldChar w:fldCharType="end"/>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0" w:right="360"/>
      <w:rPr>
        <w:sz w:val="28"/>
        <w:szCs w:val="28"/>
      </w:rPr>
    </w:pPr>
    <w:r>
      <w:rPr>
        <w:sz w:val="28"/>
        <w:szCs w:val="28"/>
      </w:rPr>
      <w:t>—</w:t>
    </w:r>
    <w:r>
      <w:rPr>
        <w:sz w:val="28"/>
        <w:szCs w:val="28"/>
      </w:rPr>
      <w:fldChar w:fldCharType="begin"/>
    </w:r>
    <w:r>
      <w:rPr>
        <w:sz w:val="28"/>
        <w:szCs w:val="28"/>
      </w:rPr>
      <w:instrText xml:space="preserve">Page</w:instrText>
    </w:r>
    <w:r>
      <w:rPr>
        <w:sz w:val="28"/>
        <w:szCs w:val="28"/>
      </w:rPr>
      <w:fldChar w:fldCharType="separate"/>
    </w:r>
    <w:r>
      <w:rPr>
        <w:sz w:val="28"/>
        <w:szCs w:val="28"/>
      </w:rPr>
      <w:t>46</w:t>
    </w:r>
    <w:r>
      <w:rPr>
        <w:sz w:val="28"/>
        <w:szCs w:val="28"/>
      </w:rPr>
      <w:fldChar w:fldCharType="end"/>
    </w:r>
    <w:r>
      <w:rPr>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
  <w:docVars>
    <w:docVar w:name="commondata" w:val="eyJoZGlkIjoiY2QxZjVhMjhmMzFjOGY3ODgwYzQ3Yjg2ZDMzNDljODgifQ=="/>
  </w:docVars>
  <w:rsids>
    <w:rsidRoot w:val="00000000"/>
    <w:rsid w:val="354E4EC8"/>
    <w:rsid w:val="6BD62D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7"/>
      </w:tabs>
      <w:snapToGrid w:val="0"/>
      <w:jc w:val="left"/>
    </w:pPr>
    <w:rPr>
      <w:sz w:val="18"/>
      <w:szCs w:val="18"/>
    </w:rPr>
  </w:style>
  <w:style w:type="paragraph" w:styleId="6">
    <w:name w:val="header"/>
    <w:basedOn w:val="1"/>
    <w:uiPriority w:val="0"/>
    <w:pPr>
      <w:pBdr>
        <w:bottom w:val="single" w:color="auto" w:sz="6" w:space="1"/>
      </w:pBdr>
      <w:tabs>
        <w:tab w:val="center" w:pos="4153"/>
        <w:tab w:val="right" w:pos="8307"/>
      </w:tabs>
      <w:snapToGrid w:val="0"/>
      <w:jc w:val="center"/>
    </w:pPr>
    <w:rPr>
      <w:sz w:val="18"/>
      <w:szCs w:val="18"/>
    </w:r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3726</Words>
  <Characters>3851</Characters>
  <Lines>1354</Lines>
  <Paragraphs>651</Paragraphs>
  <TotalTime>250</TotalTime>
  <ScaleCrop>false</ScaleCrop>
  <LinksUpToDate>false</LinksUpToDate>
  <CharactersWithSpaces>3884</CharactersWithSpaces>
  <Application>WPS Office_11.1.0.12300_F1E327BC-269C-435d-A152-05C5408002CA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2022-07-12T13:47:00Z</dcterms:created>
  <dc:creator>lz</dc:creator>
  <cp:lastModifiedBy>运维人员1</cp:lastModifiedBy>
  <cp:lastPrinted>2022-07-15T06:21:00Z</cp:lastPrinted>
  <dcterms:modified xsi:type="dcterms:W3CDTF">2022-08-05T02:44:53Z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B3A127C088FF4C30BE9411E40D84D615</vt:lpwstr>
  </property>
</Properties>
</file>